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B6" w:rsidRPr="00170FB6" w:rsidRDefault="00170FB6" w:rsidP="00170FB6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 ĐỊNH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MỘT SỐ CHẾ ĐỘ HOẠT ĐỘNG ĐỐI VỚI CHI NHÁNH CƠ QUAN ĐẠI DIỆN THƯƠNG MẠI LIÊN XÔ TẠI THÀNH PHỐ HỒ CHÍ MINH </w:t>
      </w: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0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(Ban </w:t>
      </w:r>
      <w:proofErr w:type="spellStart"/>
      <w:r w:rsidRPr="00170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hành</w:t>
      </w:r>
      <w:proofErr w:type="spellEnd"/>
      <w:r w:rsidRPr="00170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kèm</w:t>
      </w:r>
      <w:proofErr w:type="spellEnd"/>
      <w:r w:rsidRPr="00170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</w:t>
      </w:r>
      <w:proofErr w:type="spellEnd"/>
      <w:r w:rsidRPr="00170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QĐ </w:t>
      </w:r>
      <w:proofErr w:type="spellStart"/>
      <w:r w:rsidRPr="00170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170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36/QĐ-UB </w:t>
      </w:r>
      <w:proofErr w:type="spellStart"/>
      <w:r w:rsidRPr="00170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170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26-3-1980)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FB6" w:rsidRPr="00170FB6" w:rsidRDefault="00170FB6" w:rsidP="00170FB6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364/VP7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2-10-1979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Xô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chiếu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Xô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tắt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trừ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cấm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chiếu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cảng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bay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đón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tàu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thủy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bay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Xô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đậu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cảng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bay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cảng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bay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cảng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bay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tàu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thủy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bay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Xô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…),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bưu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proofErr w:type="gram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bưu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bưu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–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lương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hỏa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v.v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170FB6" w:rsidRPr="00170FB6" w:rsidRDefault="00170FB6" w:rsidP="00170FB6">
      <w:pPr>
        <w:shd w:val="clear" w:color="auto" w:fill="FFFFFF"/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tinh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"http://thuvienphapluat.vn/phap-luat/tim-van-ban.aspx?keyword=09/TT-UB&amp;area=2&amp;type=0&amp;match=False&amp;vc=True&amp;lan=1" \t "_blank" </w:instrText>
      </w: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70FB6">
        <w:rPr>
          <w:rFonts w:ascii="Times New Roman" w:eastAsia="Times New Roman" w:hAnsi="Times New Roman" w:cs="Times New Roman"/>
          <w:color w:val="0E70C3"/>
          <w:sz w:val="28"/>
          <w:szCs w:val="28"/>
        </w:rPr>
        <w:t> </w:t>
      </w:r>
      <w:r w:rsidRPr="00170FB6">
        <w:rPr>
          <w:rFonts w:ascii="Times New Roman" w:eastAsia="Times New Roman" w:hAnsi="Times New Roman" w:cs="Times New Roman"/>
          <w:sz w:val="28"/>
          <w:szCs w:val="28"/>
        </w:rPr>
        <w:t>09/TT-UB</w:t>
      </w: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25-4-1978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chiêu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đãi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lãm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chiếu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phim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…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</w:t>
      </w:r>
      <w:bookmarkStart w:id="0" w:name="_GoBack"/>
      <w:bookmarkEnd w:id="0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lãm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phim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chiếu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Minh.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Minh.</w:t>
      </w:r>
    </w:p>
    <w:p w:rsidR="00170FB6" w:rsidRPr="00170FB6" w:rsidRDefault="00170FB6" w:rsidP="00170FB6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đem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chiếu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chiếu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7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Minh.</w:t>
      </w:r>
    </w:p>
    <w:p w:rsidR="009E547F" w:rsidRPr="00170FB6" w:rsidRDefault="00170FB6">
      <w:pPr>
        <w:rPr>
          <w:rFonts w:ascii="Times New Roman" w:hAnsi="Times New Roman" w:cs="Times New Roman"/>
          <w:sz w:val="28"/>
          <w:szCs w:val="28"/>
        </w:rPr>
      </w:pPr>
    </w:p>
    <w:sectPr w:rsidR="009E547F" w:rsidRPr="0017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B6"/>
    <w:rsid w:val="00170FB6"/>
    <w:rsid w:val="00362BA3"/>
    <w:rsid w:val="0080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0FB6"/>
  </w:style>
  <w:style w:type="character" w:styleId="Hyperlink">
    <w:name w:val="Hyperlink"/>
    <w:basedOn w:val="DefaultParagraphFont"/>
    <w:uiPriority w:val="99"/>
    <w:semiHidden/>
    <w:unhideWhenUsed/>
    <w:rsid w:val="00170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0FB6"/>
  </w:style>
  <w:style w:type="character" w:styleId="Hyperlink">
    <w:name w:val="Hyperlink"/>
    <w:basedOn w:val="DefaultParagraphFont"/>
    <w:uiPriority w:val="99"/>
    <w:semiHidden/>
    <w:unhideWhenUsed/>
    <w:rsid w:val="0017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8DB3C-7248-4082-B60C-0105C68CC7EE}"/>
</file>

<file path=customXml/itemProps2.xml><?xml version="1.0" encoding="utf-8"?>
<ds:datastoreItem xmlns:ds="http://schemas.openxmlformats.org/officeDocument/2006/customXml" ds:itemID="{2A0A1D31-95C9-40E9-B220-74C2C0E4004F}"/>
</file>

<file path=customXml/itemProps3.xml><?xml version="1.0" encoding="utf-8"?>
<ds:datastoreItem xmlns:ds="http://schemas.openxmlformats.org/officeDocument/2006/customXml" ds:itemID="{97965477-DAF4-4667-BB91-DDDA4ABFF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thuy thanh thu</dc:creator>
  <cp:lastModifiedBy>trinh thuy thanh thu</cp:lastModifiedBy>
  <cp:revision>1</cp:revision>
  <dcterms:created xsi:type="dcterms:W3CDTF">2016-01-28T01:44:00Z</dcterms:created>
  <dcterms:modified xsi:type="dcterms:W3CDTF">2016-01-28T01:44:00Z</dcterms:modified>
</cp:coreProperties>
</file>